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452" w:rsidRDefault="00303452" w:rsidP="0030345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Выборы депутатов советов депутатов муниципальных образований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городского и сельских поселений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Ленинградской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области  пятого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созыва, муниципального образования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Ивангородского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Кингисеппского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муниципального района Ленинградской области седьмого созыва</w:t>
      </w:r>
    </w:p>
    <w:p w:rsidR="00303452" w:rsidRDefault="00303452" w:rsidP="00303452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 сентября 2024 года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ЛЕНИНГРАДСКОЙ ОБЛАСТИ </w:t>
      </w:r>
    </w:p>
    <w:p w:rsidR="00C80B23" w:rsidRPr="00C80B23" w:rsidRDefault="00C80B23" w:rsidP="00C80B23">
      <w:pPr>
        <w:keepNext/>
        <w:pBdr>
          <w:bottom w:val="double" w:sz="4" w:space="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16"/>
          <w:szCs w:val="28"/>
          <w:lang w:val="x-none" w:eastAsia="ru-RU"/>
        </w:rPr>
      </w:pPr>
    </w:p>
    <w:p w:rsidR="00C80B23" w:rsidRPr="00C80B23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B23" w:rsidRPr="00C80B23" w:rsidRDefault="00C80B23" w:rsidP="00C8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0B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C80B23" w:rsidRPr="00614BD6" w:rsidRDefault="00C80B23" w:rsidP="00C80B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 июня 2024 года                                                                                              </w:t>
      </w:r>
      <w:r w:rsidR="00863CA5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24/10</w:t>
      </w:r>
      <w:r w:rsidR="0036710D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</w:p>
    <w:p w:rsidR="00C80B23" w:rsidRPr="00614BD6" w:rsidRDefault="00C80B23" w:rsidP="00AC43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10D" w:rsidRPr="00614BD6" w:rsidRDefault="0036710D" w:rsidP="0036710D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необходимом для информирования избирателей объеме сведений о кандидатах на выборах депутатов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района, назначенных на единый день голосования 8 сентября 2024 года</w:t>
      </w:r>
    </w:p>
    <w:p w:rsidR="0036710D" w:rsidRPr="00614BD6" w:rsidRDefault="0036710D" w:rsidP="0036710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63708" w:rsidRPr="00614BD6" w:rsidRDefault="0036710D" w:rsidP="00563708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</w:rPr>
        <w:t>В соответствии с частями 5, 7 статьи 20 и частями 3, 4 статьи 45 областного закона от 15 марта 2012 года № 20-оз «О муниципальных выборах в Ленинградской области»</w:t>
      </w:r>
      <w:r w:rsidR="0030345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Территориальная избирательная комиссия </w:t>
      </w:r>
      <w:proofErr w:type="spellStart"/>
      <w:r w:rsidR="00303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 w:rsidR="003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  <w:r w:rsidR="00303452">
        <w:rPr>
          <w:rFonts w:ascii="Times New Roman" w:hAnsi="Times New Roman" w:cs="Times New Roman"/>
          <w:sz w:val="24"/>
          <w:szCs w:val="24"/>
        </w:rPr>
        <w:t xml:space="preserve">с полномочиями окружных избирательных комиссий муниципальных образований городских и сельских поселений </w:t>
      </w:r>
      <w:proofErr w:type="spellStart"/>
      <w:r w:rsidR="00303452">
        <w:rPr>
          <w:rFonts w:ascii="Times New Roman" w:hAnsi="Times New Roman" w:cs="Times New Roman"/>
          <w:sz w:val="24"/>
          <w:szCs w:val="24"/>
        </w:rPr>
        <w:t>Кингисеппского</w:t>
      </w:r>
      <w:proofErr w:type="spellEnd"/>
      <w:r w:rsidR="0030345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303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563708" w:rsidRPr="00614BD6" w:rsidRDefault="00563708" w:rsidP="0056370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710D" w:rsidRPr="00614BD6" w:rsidRDefault="0036710D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Установить объем сведений о кандидатах в депутаты на выборах депутатов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назначенных на единый день голосования 8 сентября 2024 года необходимый для информирования избирателей, согласно приложениям № №1, 2.</w:t>
      </w:r>
    </w:p>
    <w:p w:rsidR="0036710D" w:rsidRPr="00614BD6" w:rsidRDefault="0036710D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Установить объем информации о кандидатах в депутаты советов депутатов муниципальных образований </w:t>
      </w: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района, внесенных в избирательный бюллетень, необходимой для размещения на информационном стенде в помещении для голосования либо непосредственно перед указанным помещением, согласно приложению № 3.</w:t>
      </w:r>
    </w:p>
    <w:p w:rsidR="004E3165" w:rsidRPr="00614BD6" w:rsidRDefault="004E3165" w:rsidP="003671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614BD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Разместить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 w:rsidR="00563708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территориальной избирательной комиссии </w:t>
      </w:r>
      <w:proofErr w:type="spellStart"/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13C7" w:rsidRPr="00614BD6" w:rsidRDefault="000813C7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0D" w:rsidRPr="00614BD6" w:rsidRDefault="0036710D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0D" w:rsidRPr="00614BD6" w:rsidRDefault="0036710D" w:rsidP="00C80B2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территориальной избирательной комиссии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</w:t>
      </w:r>
      <w:r w:rsidR="005C14F2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399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 Колмогорова</w:t>
      </w:r>
    </w:p>
    <w:p w:rsidR="002670EF" w:rsidRPr="00614BD6" w:rsidRDefault="002670EF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33F4" w:rsidRPr="00614BD6" w:rsidRDefault="007233F4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0B23" w:rsidRPr="00614BD6" w:rsidRDefault="00C80B23" w:rsidP="005C14F2">
      <w:pPr>
        <w:spacing w:after="0" w:line="240" w:lineRule="auto"/>
        <w:ind w:right="7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C80B23" w:rsidRPr="00614BD6" w:rsidRDefault="00C80B23" w:rsidP="005C14F2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территориальной</w:t>
      </w:r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избирательной комиссии</w:t>
      </w:r>
    </w:p>
    <w:p w:rsidR="004F44A7" w:rsidRPr="00614BD6" w:rsidRDefault="00C80B23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Кингисеппского</w:t>
      </w:r>
      <w:proofErr w:type="spellEnd"/>
      <w:r w:rsidRPr="00614B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района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7233F4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13399"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614BD6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 Петрова</w:t>
      </w:r>
    </w:p>
    <w:p w:rsidR="002E793A" w:rsidRDefault="002E793A" w:rsidP="005C14F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ТИК</w:t>
      </w: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19.06.2024 года № 24/105</w:t>
      </w:r>
    </w:p>
    <w:p w:rsidR="0036710D" w:rsidRDefault="0036710D" w:rsidP="003671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 </w:t>
      </w:r>
    </w:p>
    <w:p w:rsidR="00614BD6" w:rsidRPr="00614BD6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кандидатах в депутаты советов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депутатов </w:t>
      </w:r>
    </w:p>
    <w:p w:rsidR="00614BD6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</w:t>
      </w:r>
      <w:r w:rsidR="00614BD6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района</w:t>
      </w:r>
      <w:r w:rsidR="00614BD6"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</w:p>
    <w:p w:rsidR="00696C27" w:rsidRPr="00696C27" w:rsidRDefault="00614BD6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необходимые</w:t>
      </w:r>
      <w:r w:rsidR="00696C27"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для информирования избирателей </w:t>
      </w:r>
    </w:p>
    <w:p w:rsidR="00696C27" w:rsidRPr="00696C27" w:rsidRDefault="00696C27" w:rsidP="00696C27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 xml:space="preserve">1. В соответствии с частью 5 статьи 20 областного закона от 15 марта </w:t>
      </w:r>
      <w:r w:rsidRPr="005544DA">
        <w:rPr>
          <w:rFonts w:ascii="Times New Roman" w:hAnsi="Times New Roman"/>
          <w:sz w:val="28"/>
          <w:szCs w:val="28"/>
        </w:rPr>
        <w:br/>
      </w:r>
      <w:r w:rsidRPr="005544DA">
        <w:rPr>
          <w:rFonts w:ascii="Times New Roman" w:hAnsi="Times New Roman"/>
          <w:sz w:val="28"/>
          <w:szCs w:val="28"/>
        </w:rPr>
        <w:t>2012 года №</w:t>
      </w:r>
      <w:r w:rsidRPr="005544DA">
        <w:rPr>
          <w:rFonts w:ascii="Times New Roman" w:hAnsi="Times New Roman"/>
          <w:sz w:val="28"/>
          <w:szCs w:val="28"/>
          <w:lang w:val="en-US"/>
        </w:rPr>
        <w:t> </w:t>
      </w:r>
      <w:r w:rsidRPr="005544DA">
        <w:rPr>
          <w:rFonts w:ascii="Times New Roman" w:hAnsi="Times New Roman"/>
          <w:sz w:val="28"/>
          <w:szCs w:val="28"/>
        </w:rPr>
        <w:t xml:space="preserve">20-оз «О муниципальных выборах в Ленинградской области» </w:t>
      </w:r>
      <w:r w:rsidRPr="005544DA">
        <w:rPr>
          <w:rFonts w:ascii="Times New Roman" w:hAnsi="Times New Roman" w:cs="Times New Roman"/>
          <w:sz w:val="28"/>
          <w:szCs w:val="28"/>
        </w:rPr>
        <w:t>территор</w:t>
      </w:r>
      <w:r>
        <w:rPr>
          <w:rFonts w:ascii="Times New Roman" w:hAnsi="Times New Roman" w:cs="Times New Roman"/>
          <w:sz w:val="28"/>
          <w:szCs w:val="28"/>
        </w:rPr>
        <w:t xml:space="preserve">иальная 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с полномочиями окружных избирательных комиссии городского и сельского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средства массовой информации сведения, о кандидатах представленные при их выдвижении. </w:t>
      </w:r>
      <w:r w:rsidRPr="005544DA">
        <w:rPr>
          <w:rFonts w:ascii="Times New Roman" w:hAnsi="Times New Roman" w:cs="Times New Roman"/>
          <w:sz w:val="28"/>
          <w:szCs w:val="28"/>
        </w:rPr>
        <w:t xml:space="preserve">Указанные сведения также размещаются на официальном сайте Избирательной комиссии Ленинградской </w:t>
      </w:r>
      <w:r w:rsidRPr="005544DA">
        <w:rPr>
          <w:rFonts w:ascii="Times New Roman" w:hAnsi="Times New Roman"/>
          <w:sz w:val="28"/>
          <w:szCs w:val="28"/>
        </w:rPr>
        <w:t>области в сети «Интернет».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 xml:space="preserve">2. Территориальная </w:t>
      </w:r>
      <w:r w:rsidRPr="005544DA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с полномочиями окружных избирательных комиссии городского и сельского поселений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Pr="005544DA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5544DA">
        <w:rPr>
          <w:rFonts w:ascii="Times New Roman" w:hAnsi="Times New Roman"/>
          <w:sz w:val="28"/>
          <w:szCs w:val="28"/>
        </w:rPr>
        <w:t xml:space="preserve"> направляет в средства массовой информации и размещает в сети «Интернет» сведения о каждом кандидате и информацию об изменениях в этих сведениях.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4DA">
        <w:rPr>
          <w:rFonts w:ascii="Times New Roman" w:hAnsi="Times New Roman"/>
          <w:sz w:val="28"/>
          <w:szCs w:val="28"/>
        </w:rPr>
        <w:t>В сведениях о каждом кандидате указываются: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и номер избирательного округа, по которому выдвинут кандидат;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фамилия, имя, отчество кандидата; дата и место рождения; наименование субъекта Российской Федерации, района, города или иного населенного пункта, где находится место жительства кандидата; сведения о профессиональном образовании (при наличии) с указанием организации, осуществляющей образовательную деятельность, года ее окончания;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принадлежность к политической партии, иному общественному объединению и статус в этой политической партии (общественном объединении)</w:t>
      </w:r>
      <w:r w:rsidRPr="005544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сведения о судимости (при наличии): 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судимость снята или погашена, – слова «имелась судимость:» с указанием номера (номеров) и части (частей), пункта (пунктов), а также </w:t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наименования (наименований) статьи (статей) соответствующего закона (соответствующих законов), сведения о дате снятия или погашения судимости;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судимость не снята и не погашена, – слова «имеется судимость:» с указанием номера (номеров) и части (частей), пункта (пунктов), а также наименования (наименований) статьи (статей) соответствующего закона (соответствующих законов);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сведения о том, что кандидат является иностранным агентом или кандидатом, аффилированным с иностранным агентом (при наличии);</w:t>
      </w: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DA" w:rsidRPr="005544DA" w:rsidRDefault="005544DA" w:rsidP="005544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544DA" w:rsidRPr="005544DA" w:rsidRDefault="005544DA" w:rsidP="005544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2.          …………………………………………………………………………………</w:t>
      </w:r>
    </w:p>
    <w:p w:rsidR="005544DA" w:rsidRPr="005544DA" w:rsidRDefault="005544DA" w:rsidP="005544D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 по каждому кандидату.</w:t>
      </w: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частью 7 статьи 20 областного закона от 15 марта 2012 года №</w:t>
      </w:r>
      <w:r w:rsidRPr="005544D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544DA">
        <w:rPr>
          <w:rFonts w:ascii="Times New Roman" w:eastAsia="Times New Roman" w:hAnsi="Times New Roman" w:cs="Times New Roman"/>
          <w:sz w:val="28"/>
          <w:szCs w:val="28"/>
          <w:lang w:eastAsia="ru-RU"/>
        </w:rPr>
        <w:t>20-оз «О муниципальных выборах в Ленинградской области» вышеназванные избирательные комиссии направляют в муниципальные периодические печатные издания сведения о выявленных фактах недостоверности сведений о кандидатах, представленных при их выдвижении, в объеме, установленном в приложении № 2 к настоящему решению *(направляются только в случае их наличия).</w:t>
      </w:r>
    </w:p>
    <w:p w:rsidR="00696C27" w:rsidRPr="00696C27" w:rsidRDefault="00696C27" w:rsidP="00696C27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u w:val="single"/>
          <w:lang w:eastAsia="ru-RU"/>
        </w:rPr>
      </w:pPr>
    </w:p>
    <w:p w:rsidR="00696C27" w:rsidRPr="00696C27" w:rsidRDefault="00696C27" w:rsidP="00696C27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sz w:val="28"/>
          <w:szCs w:val="24"/>
          <w:highlight w:val="cyan"/>
          <w:u w:val="single"/>
          <w:lang w:eastAsia="ru-RU"/>
        </w:rPr>
        <w:sectPr w:rsidR="00696C27" w:rsidRPr="00696C27" w:rsidSect="00FF1A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2" w:right="851" w:bottom="1134" w:left="1260" w:header="624" w:footer="709" w:gutter="0"/>
          <w:cols w:space="708"/>
          <w:titlePg/>
          <w:docGrid w:linePitch="360"/>
        </w:sectPr>
      </w:pPr>
    </w:p>
    <w:p w:rsidR="00696C27" w:rsidRPr="00696C27" w:rsidRDefault="00696C27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sz w:val="18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6C27" w:rsidRPr="00696C27" w:rsidRDefault="00696C27" w:rsidP="00696C27">
      <w:pPr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2</w:t>
      </w:r>
    </w:p>
    <w:p w:rsidR="00696C27" w:rsidRPr="00696C27" w:rsidRDefault="00696C27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="00614BD6" w:rsidRPr="00614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</w:t>
      </w:r>
    </w:p>
    <w:p w:rsidR="00696C27" w:rsidRPr="00696C27" w:rsidRDefault="00614BD6" w:rsidP="00696C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</w:t>
      </w:r>
      <w:r w:rsidR="00696C27"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96C27"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</w:t>
      </w:r>
      <w:r w:rsidR="00696C27"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96C27"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="00696C27"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6C27" w:rsidRPr="00696C27" w:rsidRDefault="00696C27" w:rsidP="00696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СВЕДЕНИЯ </w:t>
      </w:r>
    </w:p>
    <w:p w:rsidR="00696C27" w:rsidRPr="00696C27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выявленных фактах недостоверности сведений о кандидатах в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депутаты советов депутатов 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 необходимые для информирования избирателей</w:t>
      </w:r>
    </w:p>
    <w:p w:rsidR="00696C27" w:rsidRPr="00696C27" w:rsidRDefault="00696C27" w:rsidP="00696C27">
      <w:pPr>
        <w:spacing w:after="0" w:line="240" w:lineRule="auto"/>
        <w:ind w:left="-567" w:right="-2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tbl>
      <w:tblPr>
        <w:tblW w:w="10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770"/>
        <w:gridCol w:w="2585"/>
        <w:gridCol w:w="1980"/>
        <w:gridCol w:w="2048"/>
      </w:tblGrid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имя, отчество кандидата</w:t>
            </w: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Представлено кандидатом</w:t>
            </w: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Результаты проверки</w:t>
            </w: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Организация, предоставившая сведения</w:t>
            </w: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1</w:t>
            </w: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2</w:t>
            </w: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3</w:t>
            </w: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4</w:t>
            </w: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3"/>
                <w:szCs w:val="24"/>
                <w:lang w:eastAsia="ru-RU"/>
              </w:rPr>
              <w:t>5</w:t>
            </w: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дате и месте рождения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месте жительства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гражданстве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профессиональном образовании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основном месте работы (службы), занимаемой должности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принадлежности к политической партии или к общественному объединению </w:t>
            </w: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статусе в этой политической партии или общественном объединении</w:t>
            </w:r>
          </w:p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10083" w:type="dxa"/>
            <w:gridSpan w:val="5"/>
          </w:tcPr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судимости кандидата, о дате снятия или погашения судимости</w:t>
            </w:r>
          </w:p>
          <w:p w:rsidR="00696C27" w:rsidRPr="00696C27" w:rsidRDefault="00696C27" w:rsidP="0069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696C27" w:rsidRPr="00696C27" w:rsidTr="004D3796">
        <w:trPr>
          <w:cantSplit/>
          <w:jc w:val="center"/>
        </w:trPr>
        <w:tc>
          <w:tcPr>
            <w:tcW w:w="70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696C27" w:rsidRPr="00696C27" w:rsidRDefault="00696C27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  <w:tr w:rsidR="005544DA" w:rsidRPr="00696C27" w:rsidTr="000D42F5">
        <w:trPr>
          <w:cantSplit/>
          <w:jc w:val="center"/>
        </w:trPr>
        <w:tc>
          <w:tcPr>
            <w:tcW w:w="10083" w:type="dxa"/>
            <w:gridSpan w:val="5"/>
          </w:tcPr>
          <w:p w:rsidR="005544DA" w:rsidRDefault="005544DA" w:rsidP="0055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  <w:r w:rsidRPr="005544DA"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  <w:t>Сведения о наличии статуса кандидата, являющегося иностранным агентом, либо сведения о наличии статуса кандидат, аффилированного с иностранным агентом</w:t>
            </w:r>
          </w:p>
          <w:p w:rsidR="005544DA" w:rsidRPr="005544DA" w:rsidRDefault="005544DA" w:rsidP="00554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4"/>
                <w:lang w:eastAsia="ru-RU"/>
              </w:rPr>
            </w:pPr>
          </w:p>
        </w:tc>
      </w:tr>
      <w:tr w:rsidR="005544DA" w:rsidRPr="00696C27" w:rsidTr="004D3796">
        <w:trPr>
          <w:cantSplit/>
          <w:jc w:val="center"/>
        </w:trPr>
        <w:tc>
          <w:tcPr>
            <w:tcW w:w="70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77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585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  <w:tc>
          <w:tcPr>
            <w:tcW w:w="2048" w:type="dxa"/>
          </w:tcPr>
          <w:p w:rsidR="005544DA" w:rsidRPr="00696C27" w:rsidRDefault="005544DA" w:rsidP="0069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4"/>
                <w:lang w:eastAsia="ru-RU"/>
              </w:rPr>
            </w:pPr>
          </w:p>
        </w:tc>
      </w:tr>
    </w:tbl>
    <w:p w:rsidR="00696C27" w:rsidRPr="00696C27" w:rsidRDefault="00696C27" w:rsidP="00696C27">
      <w:pPr>
        <w:keepLines/>
        <w:spacing w:after="12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p w:rsidR="00696C27" w:rsidRPr="00696C27" w:rsidRDefault="00696C27" w:rsidP="00696C27">
      <w:pPr>
        <w:keepLines/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ru-RU"/>
        </w:rPr>
      </w:pPr>
      <w:r w:rsidRPr="00696C27">
        <w:rPr>
          <w:rFonts w:ascii="Times New Roman" w:eastAsia="Batang" w:hAnsi="Times New Roman" w:cs="Times New Roman"/>
          <w:sz w:val="24"/>
          <w:szCs w:val="24"/>
          <w:u w:val="single"/>
          <w:lang w:eastAsia="ru-RU"/>
        </w:rPr>
        <w:t>Примечание: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 сведения о фактах недостоверности группируются по каждому кандидату 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br/>
        <w:t xml:space="preserve">с разбивкой по отдельным разделам. Сведения приводятся только в случае их наличия. </w:t>
      </w:r>
      <w:r w:rsidRPr="00696C27">
        <w:rPr>
          <w:rFonts w:ascii="Times New Roman" w:eastAsia="Batang" w:hAnsi="Times New Roman" w:cs="Times New Roman"/>
          <w:sz w:val="24"/>
          <w:szCs w:val="24"/>
          <w:lang w:eastAsia="ru-RU"/>
        </w:rPr>
        <w:br/>
        <w:t>При их отсутствии соответствующие пустые графы не приводятся.</w:t>
      </w:r>
    </w:p>
    <w:p w:rsidR="00696C27" w:rsidRPr="00696C27" w:rsidRDefault="00696C27" w:rsidP="00696C27">
      <w:pPr>
        <w:spacing w:after="0" w:line="240" w:lineRule="auto"/>
        <w:ind w:hanging="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96C27" w:rsidRPr="00696C27">
          <w:pgSz w:w="11906" w:h="16838"/>
          <w:pgMar w:top="1079" w:right="850" w:bottom="1134" w:left="1701" w:header="708" w:footer="708" w:gutter="0"/>
          <w:cols w:space="708"/>
          <w:titlePg/>
          <w:docGrid w:linePitch="360"/>
        </w:sectPr>
      </w:pPr>
    </w:p>
    <w:p w:rsidR="00614BD6" w:rsidRPr="00696C27" w:rsidRDefault="00614BD6" w:rsidP="00614BD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:rsidR="00614BD6" w:rsidRPr="00696C27" w:rsidRDefault="00614BD6" w:rsidP="00614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r w:rsidRPr="00614BD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</w:t>
      </w:r>
    </w:p>
    <w:p w:rsidR="00614BD6" w:rsidRPr="00696C27" w:rsidRDefault="00614BD6" w:rsidP="00614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19.06.</w:t>
      </w: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105</w:t>
      </w:r>
      <w:r w:rsidRPr="00696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4BD6" w:rsidRPr="00696C27" w:rsidRDefault="00614BD6" w:rsidP="00614B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Объем информации о кандидатах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614BD6" w:rsidRPr="00614BD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депутаты </w:t>
      </w:r>
      <w:r w:rsidR="00614BD6" w:rsidRPr="00614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советов</w:t>
      </w: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депутатов муниципальных образований </w:t>
      </w:r>
      <w:proofErr w:type="spellStart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внесенных в избирательный бюллетень, необходимый для размещения на информационном стенде в помещении для голосования либо непосредственно перед указанным помещением </w:t>
      </w:r>
    </w:p>
    <w:p w:rsidR="00696C27" w:rsidRPr="00696C27" w:rsidRDefault="00696C27" w:rsidP="00696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696C27" w:rsidRPr="00696C27" w:rsidRDefault="00696C27" w:rsidP="00696C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информационном стенде в помещении для голосования либо непосредственно перед указанным помещением,</w:t>
      </w:r>
      <w:r w:rsidRPr="00696C2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пунктами 3, 4, 7  статьи 61 Федерального закона от 12 июня 2002 года №</w:t>
      </w:r>
      <w:r w:rsidRPr="00696C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67-ФЗ «Об основных гарантиях избирательных прав и права на участие в референдуме граждан Российской Федерации», частями 3, 4, 5 статьи 45 областного закона от 15 марта 2012 года №</w:t>
      </w:r>
      <w:r w:rsidRPr="00696C2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20-оз «О муниципальных выборах в Ленинградской области» участковая избирательная комиссия размещает не содержащие признаков предвыборной агитации информационные материалы обо всех кандидатах, внесенных в бюллетень для голосования на выборах депутатов советов депутатов муниципальных образований. Эта информация размещается на одном плакате под общим заголовком «Кандидаты в депутаты совета депутатов муниципального образования __________________________________   __ созыва</w:t>
      </w:r>
    </w:p>
    <w:p w:rsidR="00696C27" w:rsidRPr="00696C27" w:rsidRDefault="00696C27" w:rsidP="00696C27">
      <w:pPr>
        <w:spacing w:after="0" w:line="240" w:lineRule="auto"/>
        <w:ind w:left="-540" w:right="-105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96C2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             (наименование муниципального образования)</w:t>
      </w:r>
    </w:p>
    <w:p w:rsidR="00696C27" w:rsidRPr="00696C27" w:rsidRDefault="00696C27" w:rsidP="0069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__________________</w:t>
      </w:r>
      <w:proofErr w:type="gramStart"/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_  одномандатному</w:t>
      </w:r>
      <w:proofErr w:type="gramEnd"/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(многомандатному)  избирательному</w:t>
      </w:r>
    </w:p>
    <w:p w:rsidR="00696C27" w:rsidRPr="00696C27" w:rsidRDefault="00696C27" w:rsidP="00696C27">
      <w:pPr>
        <w:spacing w:after="0" w:line="240" w:lineRule="auto"/>
        <w:ind w:left="-540" w:right="-105"/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</w:pPr>
      <w:r w:rsidRPr="00696C27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                     (наименование избирательного округа)</w:t>
      </w:r>
    </w:p>
    <w:p w:rsidR="00696C27" w:rsidRPr="00696C27" w:rsidRDefault="00696C27" w:rsidP="0069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96C2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округу №___», который изготавливается по заказу территориальной избирательной комиссии (избирательной комиссии муниципального образования) с полномочиями соответствующей окружной избирательной комиссии.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Устанавливается следующий объем размещаемой на плакате информации: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фамилия, имя, отчество (если фамилии, имена и отчества двух и более кандидатов совпадают полностью, сведения о кандидатах размещаются в соответствии с датами рождения кандидатов (первыми указываются сведения о старшем кандидате). Если кандидат менял фамилию, или имя, или отчество в период избирательной кампании либо в течение года до дня официального опубликования (публикации) решения о назначении выборов, также указываются его прежние фамилия, или имя, или отчество;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год рождения;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сведения о профессиональном образовании (при наличии) с указанием организации, осуществляющей образовательную деятельность, года ее окончания;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место жительства (наименование субъекта Российской Федерации, района, города, иного населенного пункта);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* если кандидат является депутатом и осуществляет свои полномочия на непостоянной основе, – сведения об этом с указанием наименования соответствующего представительного органа;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* если кандидат выдвинут избирательным объединением – слова: «выдвинут избирательным объединением» с указанием наименования этого избирательного объединения;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если кандидат сам выдвинул свою кандидатуру, – слово «самовыдвижение»;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сведения о принадлежности к политической партии, иному общественному объединению, если кандидат в соответствии с частью 2 статьи 20 областного закона 15 марта 2012 года № 20-оз «О муниципальных выборах в Ленинградской области» указал это в заявлении о согласии баллотироваться (указываются сокращенное (краткое) наименование соответствующей политической партии, иного общественного объединения и статус зарегистрированного кандидата в этой политической партии, ином общественном объединении);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информация о фактах недостоверности представленных кандидатами сведений, в объеме, установленном в приложении № 2 к настоящему решению (если такая информация имеется);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*сведения о судимости кандидата, а если судимость снята или погашена, – также сведения о дате снятия или погашения судимости;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сведения, о том, что кандидат является кандидатом, аффилированным с иностранным агентом.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В биографические данные могут также включаться представленные кандидатом и документально подтвержденные сведения: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трудовой (творческой) деятельности с указанием названий учреждений, предприятий, организаций, занимаемых должностей;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об ученой степени, ученых и почетных званиях;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наличии государственных наград;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* о семейном положении, наличии детей.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плакате биографические данные кандидатов размещаются после фамилии, имени, отчества кандидатов, расположенных в алфавитном порядке. 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Предельный объем биографических данных каждого кандидата не должен превышать площадь печатного листа формата А4. Сведения обо всех кандидатах должны быть напечатаны 14 шрифтом через полтора интервала шрифтом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Times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New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Roman</w:t>
      </w:r>
      <w:proofErr w:type="spellEnd"/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Перед биографическими данными кандидатов размещаются их цветные фотографии2, выполненные на однотонном фоне серо-голубого цвета, размером 9х12 на бумажном и электронном носителях, изготовленные не позднее, чем за 1 год до предоставления документов.</w:t>
      </w: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4DA" w:rsidRPr="005544D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Примечания: </w:t>
      </w:r>
    </w:p>
    <w:p w:rsidR="002E793A" w:rsidRDefault="005544DA" w:rsidP="005544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4DA">
        <w:rPr>
          <w:rFonts w:ascii="Times New Roman" w:eastAsia="Times New Roman" w:hAnsi="Times New Roman" w:cs="Times New Roman"/>
          <w:sz w:val="26"/>
          <w:szCs w:val="26"/>
          <w:lang w:eastAsia="ru-RU"/>
        </w:rPr>
        <w:t>1 в соответствии с подпунктом 58 статьи 2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сведения о судимости кандидата – сведения о когда-либо имевшихся судимостях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кандидат,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Федерации;</w:t>
      </w:r>
    </w:p>
    <w:sectPr w:rsidR="002E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22" w:rsidRDefault="00D30422" w:rsidP="00696C27">
      <w:pPr>
        <w:spacing w:after="0" w:line="240" w:lineRule="auto"/>
      </w:pPr>
      <w:r>
        <w:separator/>
      </w:r>
    </w:p>
  </w:endnote>
  <w:endnote w:type="continuationSeparator" w:id="0">
    <w:p w:rsidR="00D30422" w:rsidRDefault="00D30422" w:rsidP="00696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22" w:rsidRDefault="00D30422" w:rsidP="00696C27">
      <w:pPr>
        <w:spacing w:after="0" w:line="240" w:lineRule="auto"/>
      </w:pPr>
      <w:r>
        <w:separator/>
      </w:r>
    </w:p>
  </w:footnote>
  <w:footnote w:type="continuationSeparator" w:id="0">
    <w:p w:rsidR="00D30422" w:rsidRDefault="00D30422" w:rsidP="00696C27">
      <w:pPr>
        <w:spacing w:after="0" w:line="240" w:lineRule="auto"/>
      </w:pPr>
      <w:r>
        <w:continuationSeparator/>
      </w:r>
    </w:p>
  </w:footnote>
  <w:footnote w:id="1">
    <w:p w:rsidR="005544DA" w:rsidRPr="00711EDD" w:rsidRDefault="005544DA" w:rsidP="005544DA">
      <w:pPr>
        <w:pStyle w:val="ac"/>
        <w:rPr>
          <w:sz w:val="18"/>
          <w:szCs w:val="18"/>
        </w:rPr>
      </w:pPr>
      <w:r w:rsidRPr="00711EDD">
        <w:rPr>
          <w:rStyle w:val="ae"/>
          <w:sz w:val="18"/>
          <w:szCs w:val="18"/>
        </w:rPr>
        <w:footnoteRef/>
      </w:r>
      <w:r>
        <w:rPr>
          <w:sz w:val="18"/>
          <w:szCs w:val="18"/>
        </w:rPr>
        <w:t> </w:t>
      </w:r>
      <w:r w:rsidRPr="00711EDD">
        <w:rPr>
          <w:sz w:val="18"/>
          <w:szCs w:val="18"/>
        </w:rPr>
        <w:t>Сведения о принадлежности кандидата к политической партии либо не более чем к одному иному общественному объединению, зарегистрированному не позднее чем за один год до дня голосования в установленном законом порядке, и статус в этой политической партии, этом общественном объединении указываются, если такие сведения содержатся в заявлении кандидата о согласии баллотироваться и подтверждены соответствующим документом.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 w:rsidP="008F52E4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27" w:rsidRDefault="00696C2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B0952"/>
    <w:multiLevelType w:val="hybridMultilevel"/>
    <w:tmpl w:val="BF9AE98A"/>
    <w:lvl w:ilvl="0" w:tplc="96F6C128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259"/>
    <w:rsid w:val="000813C7"/>
    <w:rsid w:val="00112F79"/>
    <w:rsid w:val="00142EC9"/>
    <w:rsid w:val="00164415"/>
    <w:rsid w:val="0025794C"/>
    <w:rsid w:val="002670EF"/>
    <w:rsid w:val="002E793A"/>
    <w:rsid w:val="00303452"/>
    <w:rsid w:val="0036710D"/>
    <w:rsid w:val="003E47D6"/>
    <w:rsid w:val="00425FE0"/>
    <w:rsid w:val="00436280"/>
    <w:rsid w:val="00436316"/>
    <w:rsid w:val="00444EE1"/>
    <w:rsid w:val="00496C05"/>
    <w:rsid w:val="004E3165"/>
    <w:rsid w:val="004F44A7"/>
    <w:rsid w:val="005544DA"/>
    <w:rsid w:val="00556A95"/>
    <w:rsid w:val="00563708"/>
    <w:rsid w:val="005728A1"/>
    <w:rsid w:val="005C14F2"/>
    <w:rsid w:val="00604E67"/>
    <w:rsid w:val="00613399"/>
    <w:rsid w:val="00614BD6"/>
    <w:rsid w:val="006826B8"/>
    <w:rsid w:val="00696C27"/>
    <w:rsid w:val="007233F4"/>
    <w:rsid w:val="00852BEE"/>
    <w:rsid w:val="00863CA5"/>
    <w:rsid w:val="00864183"/>
    <w:rsid w:val="00AC15A7"/>
    <w:rsid w:val="00AC431E"/>
    <w:rsid w:val="00B27259"/>
    <w:rsid w:val="00B4431D"/>
    <w:rsid w:val="00B85699"/>
    <w:rsid w:val="00C80B23"/>
    <w:rsid w:val="00CD2063"/>
    <w:rsid w:val="00D30422"/>
    <w:rsid w:val="00D905C2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54A"/>
  <w15:chartTrackingRefBased/>
  <w15:docId w15:val="{8A93BE23-1357-47D2-B732-2FFDB828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05C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13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4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4E6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3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6C27"/>
  </w:style>
  <w:style w:type="paragraph" w:styleId="aa">
    <w:name w:val="footer"/>
    <w:basedOn w:val="a"/>
    <w:link w:val="ab"/>
    <w:uiPriority w:val="99"/>
    <w:semiHidden/>
    <w:unhideWhenUsed/>
    <w:rsid w:val="00696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96C27"/>
  </w:style>
  <w:style w:type="paragraph" w:styleId="ac">
    <w:name w:val="footnote text"/>
    <w:basedOn w:val="a"/>
    <w:link w:val="ad"/>
    <w:uiPriority w:val="99"/>
    <w:semiHidden/>
    <w:rsid w:val="00696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696C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696C2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1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BCB4-7315-44B7-B5E2-9F67BD2BC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PetrovaPA</dc:creator>
  <cp:keywords/>
  <dc:description/>
  <cp:lastModifiedBy>PetrovaPA</cp:lastModifiedBy>
  <cp:revision>7</cp:revision>
  <cp:lastPrinted>2024-06-19T11:37:00Z</cp:lastPrinted>
  <dcterms:created xsi:type="dcterms:W3CDTF">2024-06-11T12:11:00Z</dcterms:created>
  <dcterms:modified xsi:type="dcterms:W3CDTF">2024-07-02T09:17:00Z</dcterms:modified>
</cp:coreProperties>
</file>